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656DA">
        <w:rPr>
          <w:rStyle w:val="a4"/>
          <w:color w:val="000000"/>
          <w:sz w:val="28"/>
          <w:szCs w:val="28"/>
          <w:bdr w:val="none" w:sz="0" w:space="0" w:color="auto" w:frame="1"/>
        </w:rPr>
        <w:t>Отчет о реализации</w:t>
      </w: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656DA">
        <w:rPr>
          <w:rStyle w:val="a4"/>
          <w:color w:val="000000"/>
          <w:sz w:val="28"/>
          <w:szCs w:val="28"/>
          <w:bdr w:val="none" w:sz="0" w:space="0" w:color="auto" w:frame="1"/>
        </w:rPr>
        <w:t>областной целевой программы «Модернизация здравоохранения</w:t>
      </w: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656DA">
        <w:rPr>
          <w:rStyle w:val="a4"/>
          <w:color w:val="000000"/>
          <w:sz w:val="28"/>
          <w:szCs w:val="28"/>
          <w:bdr w:val="none" w:sz="0" w:space="0" w:color="auto" w:frame="1"/>
        </w:rPr>
        <w:t>Курской области на 2011–2012 годы»</w:t>
      </w: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656DA">
        <w:rPr>
          <w:rStyle w:val="a4"/>
          <w:color w:val="000000"/>
          <w:sz w:val="28"/>
          <w:szCs w:val="28"/>
          <w:bdr w:val="none" w:sz="0" w:space="0" w:color="auto" w:frame="1"/>
        </w:rPr>
        <w:t>по состоянию на 01.04.2013 г.</w:t>
      </w: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В соответствии с постановлением Администрации Курской области от 11 декабря 2012 г. № 1071-па (внесение изменений: от 25.12.2012г.  № 1134-па; от 17.12.2012 г. № 1087-па) запланированный объем финансирования Программы на 2011 -2012 гг. составляет 5 109 766,9  тыс. рублей, в том числе на развитие детской медицины — 1 349 912,63 тыс. руб.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По состоянию на 01.04.2013 г. объем использованных денежных средств за 2011 – 1 квартал 2013 гг. составил  4 606 687,2 тыс. руб. (90,2%).</w:t>
      </w: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656DA">
        <w:rPr>
          <w:rStyle w:val="a4"/>
          <w:color w:val="000000"/>
          <w:sz w:val="28"/>
          <w:szCs w:val="28"/>
          <w:bdr w:val="none" w:sz="0" w:space="0" w:color="auto" w:frame="1"/>
        </w:rPr>
        <w:t>Укрепление материально-технической базы медицинских организаций</w:t>
      </w: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656DA">
        <w:rPr>
          <w:rStyle w:val="a4"/>
          <w:color w:val="000000"/>
          <w:sz w:val="28"/>
          <w:szCs w:val="28"/>
          <w:bdr w:val="none" w:sz="0" w:space="0" w:color="auto" w:frame="1"/>
        </w:rPr>
        <w:t>Проведение капитального ремонта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Количество объектов, капитальный ремонт в которых предусмотрен региональной программой на 2011-2012 гг.: юридических лиц 56 (172 объекта).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Количество медицинских организаций, работы на которых завершены — 40 учреждений (148 объектов); 71,4% и 86,1% соответственно.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Фактически осуществляются мероприятия в 10-ти учреждениях на 16 объектах.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Объем средств, предусмотренных программой, всего — 1 021 713,96 тыс. руб.;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Объем фактически выплаченных средств, всего — 863 875,2 тыс. руб. (84,6%).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656DA">
        <w:rPr>
          <w:rStyle w:val="a4"/>
          <w:color w:val="000000"/>
          <w:sz w:val="28"/>
          <w:szCs w:val="28"/>
          <w:bdr w:val="none" w:sz="0" w:space="0" w:color="auto" w:frame="1"/>
        </w:rPr>
        <w:t>Приобретение медицинского оборудования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Количество единиц медицинского оборудования, предполагаемого к закупке в 2011-2012 гг. в соответствии с Программой — 3170 ед., учитывая оборудование по ГЛОНАСС – 217 ед., количество единиц оборудования составляет 3387 ед.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Количество единиц медицинского оборудования, поставленных в учреждения здравоохранения, по состоянию на 01.04.2013 г.  — 3335 (98,5% от плана).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Количество единиц медицинского оборудования, введенного в эксплуатацию по состоянию на 01.04.2013 г. — 3294 ед., что составляет 97,3% от плановых и 98,8%, от поставленных единиц оборудования, соответственно.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Объем средств, предусмотренных Программой, всего — 1 168 109,04  тыс. руб.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Объем фактически выплаченных средств, всего — 985 375,9 тыс. руб. (84,36%).</w:t>
      </w: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656DA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Внедрение современных информационных технологий в здравоохранении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Количество медицинских организаций, включенных в региональную программу по данному направлению — 57. Объем средств, предусмотренных Программой, всего — 184 685,4  тыс. руб.    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Объем фактически выплаченных средств, всего — 62 400,4 тыс. руб.(33,8%).</w:t>
      </w: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656DA">
        <w:rPr>
          <w:rStyle w:val="a4"/>
          <w:color w:val="000000"/>
          <w:sz w:val="28"/>
          <w:szCs w:val="28"/>
          <w:bdr w:val="none" w:sz="0" w:space="0" w:color="auto" w:frame="1"/>
        </w:rPr>
        <w:t>Внедрение стандартов медицинской помощи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Количество внедренных стандартов медицинской помощи — 40.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Объем средств, предусмотренных Программой, всего — 2 735 258,5  тыс. руб.    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Объем фактически выплаченных средств, всего — 2 695 035,7 тыс. руб. (98,5%).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Средний уровень заработной платы врачей, оказывающих стационарную медицинскую помощь в медицинских организациях, в которых внедрены стандарты медицинской помощи — 28 353 руб.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            Средний уровень заработной платы среднего медицинского персонала, участвующего в оказании стационарной медицинской помощи в медицинских организациях, в которых внедрены стандарты медицинской помощи — 18  708 руб.</w:t>
      </w: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656DA">
        <w:rPr>
          <w:rStyle w:val="a4"/>
          <w:color w:val="000000"/>
          <w:sz w:val="28"/>
          <w:szCs w:val="28"/>
          <w:bdr w:val="none" w:sz="0" w:space="0" w:color="auto" w:frame="1"/>
        </w:rPr>
        <w:t>Повышение доступности амбулаторной медицинской помощи, в том числе оказываемой врачами-специалистами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Объем средств, предусмотренных Программой, всего — 528 089,14  тыс. руб.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Объем фактически выплаченных средств, всего — 527 736,4  тыс. руб. (99,9%);  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Количество врачей — специалистов, получивших денежные выплаты — 1809 чел.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Количество средних медицинских работников, получивших денежные выплаты — 2681 чел.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Средний размер заработной платы, сформировавшийся в результате стимулирующих выплат: врачи-специалисты — 21 184 руб., средний медперсонал — 15 929 руб.</w:t>
      </w: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656DA">
        <w:rPr>
          <w:rStyle w:val="a4"/>
          <w:color w:val="000000"/>
          <w:sz w:val="28"/>
          <w:szCs w:val="28"/>
          <w:bdr w:val="none" w:sz="0" w:space="0" w:color="auto" w:frame="1"/>
        </w:rPr>
        <w:t>Углубленная диспансеризация 14-летних подростков</w:t>
      </w:r>
    </w:p>
    <w:p w:rsidR="003656DA" w:rsidRPr="003656DA" w:rsidRDefault="003656DA" w:rsidP="003656D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Объем средств, предусмотренных Программой, всего — 9895,31  тыс. руб.    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Объем фактически выплаченных средств, всего — 9873,0 тыс. руб. (99,8%);  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Количество 14-летних подростков, запланированных на проведение диспансеризации в 2011-2012 гг. — 13771 чел.</w:t>
      </w:r>
    </w:p>
    <w:p w:rsidR="003656DA" w:rsidRPr="003656DA" w:rsidRDefault="003656DA" w:rsidP="003656D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56DA">
        <w:rPr>
          <w:color w:val="000000"/>
          <w:sz w:val="28"/>
          <w:szCs w:val="28"/>
        </w:rPr>
        <w:t>Количество 14-летних подростков, прошедших диспансеризацию по состоянию на 01.04.2013 г., всего  — 13771 чел.</w:t>
      </w:r>
    </w:p>
    <w:p w:rsidR="00FC087E" w:rsidRPr="003656DA" w:rsidRDefault="00FC087E">
      <w:pPr>
        <w:rPr>
          <w:rFonts w:ascii="Times New Roman" w:hAnsi="Times New Roman" w:cs="Times New Roman"/>
          <w:sz w:val="28"/>
          <w:szCs w:val="28"/>
        </w:rPr>
      </w:pPr>
    </w:p>
    <w:sectPr w:rsidR="00FC087E" w:rsidRPr="0036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3656DA"/>
    <w:rsid w:val="003656DA"/>
    <w:rsid w:val="00FC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5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2018-03-23T11:35:00Z</dcterms:created>
  <dcterms:modified xsi:type="dcterms:W3CDTF">2018-03-23T11:36:00Z</dcterms:modified>
</cp:coreProperties>
</file>